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0000" w14:textId="77777777" w:rsidR="00BE7A2E" w:rsidRDefault="00BE7A2E">
      <w:pPr>
        <w:ind w:right="4820"/>
        <w:jc w:val="both"/>
        <w:rPr>
          <w:sz w:val="28"/>
        </w:rPr>
      </w:pPr>
      <w:bookmarkStart w:id="0" w:name="_GoBack"/>
      <w:bookmarkEnd w:id="0"/>
    </w:p>
    <w:p w14:paraId="0E000000" w14:textId="77777777" w:rsidR="00BE7A2E" w:rsidRDefault="00A9092B">
      <w:pPr>
        <w:jc w:val="center"/>
        <w:rPr>
          <w:b/>
        </w:rPr>
      </w:pPr>
      <w:r>
        <w:rPr>
          <w:b/>
        </w:rPr>
        <w:t>ИНФОРМАЦИЯ ДЛЯ ПУБЛИКАЦИИ В РАМКАХ ПРАВОВОГО ПРОСВЕЩЕНИЯ НАСЕЛЕНИЯ</w:t>
      </w:r>
    </w:p>
    <w:p w14:paraId="0F000000" w14:textId="77777777" w:rsidR="00BE7A2E" w:rsidRDefault="00BE7A2E">
      <w:pPr>
        <w:ind w:firstLine="567"/>
        <w:jc w:val="both"/>
        <w:rPr>
          <w:sz w:val="28"/>
        </w:rPr>
      </w:pPr>
    </w:p>
    <w:p w14:paraId="10000000" w14:textId="77777777" w:rsidR="00BE7A2E" w:rsidRDefault="00BE7A2E">
      <w:pPr>
        <w:ind w:firstLine="567"/>
        <w:jc w:val="both"/>
        <w:rPr>
          <w:sz w:val="28"/>
        </w:rPr>
      </w:pPr>
    </w:p>
    <w:p w14:paraId="11000000" w14:textId="77777777" w:rsidR="00BE7A2E" w:rsidRDefault="00A9092B">
      <w:pPr>
        <w:ind w:right="4820"/>
        <w:jc w:val="both"/>
        <w:rPr>
          <w:b/>
          <w:sz w:val="28"/>
        </w:rPr>
      </w:pPr>
      <w:r>
        <w:rPr>
          <w:b/>
          <w:sz w:val="28"/>
        </w:rPr>
        <w:t>об условиях освобождения от уголовной ответственности по ст. 157 УК РФ за неуплату алиментов</w:t>
      </w:r>
    </w:p>
    <w:p w14:paraId="12000000" w14:textId="77777777" w:rsidR="00BE7A2E" w:rsidRDefault="00BE7A2E">
      <w:pPr>
        <w:ind w:firstLine="567"/>
        <w:jc w:val="both"/>
        <w:rPr>
          <w:sz w:val="28"/>
        </w:rPr>
      </w:pPr>
    </w:p>
    <w:p w14:paraId="13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Уголовная ответственность по ч. 1 или 2 ст. 157 Уголовного кодекса Российской Федерации (далее - УК РФ) наступает при условии, если умышленная неуплата без уважительных причин средств на содержание несовершеннолетних детей либо нетрудоспособных детей, дост</w:t>
      </w:r>
      <w:r>
        <w:rPr>
          <w:sz w:val="28"/>
        </w:rPr>
        <w:t>игших восемнадцатилетнего возраста, или нетрудоспособных родителей в нарушение судебного акта или нотариально удостоверенного соглашения совершена неоднократно.</w:t>
      </w:r>
    </w:p>
    <w:p w14:paraId="14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Лицо, совершившее преступление, предусмотренное ст. 157 УК РФ, может быть освобождено от уголов</w:t>
      </w:r>
      <w:r>
        <w:rPr>
          <w:sz w:val="28"/>
        </w:rPr>
        <w:t xml:space="preserve">ной ответственности по </w:t>
      </w:r>
      <w:proofErr w:type="spellStart"/>
      <w:r>
        <w:rPr>
          <w:sz w:val="28"/>
        </w:rPr>
        <w:t>нереабилитирующим</w:t>
      </w:r>
      <w:proofErr w:type="spellEnd"/>
      <w:r>
        <w:rPr>
          <w:sz w:val="28"/>
        </w:rPr>
        <w:t xml:space="preserve"> основаниям.</w:t>
      </w:r>
    </w:p>
    <w:p w14:paraId="15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Так, в случае примирения с потерпевшим способы заглаживания вреда и размер его возмещения определяются потерпевшим - лицом, на содержание которого подлежат уплате алименты, либо его законным представител</w:t>
      </w:r>
      <w:r>
        <w:rPr>
          <w:sz w:val="28"/>
        </w:rPr>
        <w:t>ем. Такие способы заглаживания вреда должны носить законный характер и не ущемлять права потерпевшего и третьих лиц.</w:t>
      </w:r>
    </w:p>
    <w:p w14:paraId="16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При этом под возмещением ущерба следует понимать осуществление платежа, размер которого в денежном выражении не может быть менее суммы алим</w:t>
      </w:r>
      <w:r>
        <w:rPr>
          <w:sz w:val="28"/>
        </w:rPr>
        <w:t>ентов за инкриминируемый период.</w:t>
      </w:r>
    </w:p>
    <w:p w14:paraId="17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Освобождению от уголовной ответственности на основании п. 3 примечаний к ст. 157 УК РФ лицо, в том числе имеющее неснятую или непогашенную судимость за другое преступление, подлежит в случае погашения в полном объеме задолж</w:t>
      </w:r>
      <w:r>
        <w:rPr>
          <w:sz w:val="28"/>
        </w:rPr>
        <w:t>енности по алиментам, то есть уплаты всей суммы задолженности по исполнительному производству о взыскании алиментов, имеющейся на дату принятия решения о прекращении уголовного дела.</w:t>
      </w:r>
    </w:p>
    <w:p w14:paraId="18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Погашение задолженности может быть произведено не только лицом, совершивш</w:t>
      </w:r>
      <w:r>
        <w:rPr>
          <w:sz w:val="28"/>
        </w:rPr>
        <w:t>им преступление, но и по его просьбе (с его согласия) другими лицами.</w:t>
      </w:r>
    </w:p>
    <w:p w14:paraId="19000000" w14:textId="77777777" w:rsidR="00BE7A2E" w:rsidRDefault="00A9092B">
      <w:pPr>
        <w:ind w:firstLine="567"/>
        <w:jc w:val="both"/>
        <w:rPr>
          <w:sz w:val="28"/>
        </w:rPr>
      </w:pPr>
      <w:r>
        <w:rPr>
          <w:sz w:val="28"/>
        </w:rPr>
        <w:t>Обещания, а также различного рода обязательства лица, совершившего преступление, погасить задолженность в будущем не являются обстоятельствами, дающими основание для освобождения этого л</w:t>
      </w:r>
      <w:r>
        <w:rPr>
          <w:sz w:val="28"/>
        </w:rPr>
        <w:t>ица от уголовной ответственности.</w:t>
      </w:r>
    </w:p>
    <w:p w14:paraId="1A000000" w14:textId="77777777" w:rsidR="00BE7A2E" w:rsidRDefault="00A9092B">
      <w:pPr>
        <w:ind w:right="-1"/>
        <w:jc w:val="both"/>
        <w:rPr>
          <w:sz w:val="28"/>
        </w:rPr>
      </w:pPr>
      <w:r>
        <w:rPr>
          <w:sz w:val="28"/>
        </w:rPr>
        <w:t>*****</w:t>
      </w:r>
    </w:p>
    <w:p w14:paraId="1B000000" w14:textId="77777777" w:rsidR="00BE7A2E" w:rsidRDefault="00BE7A2E">
      <w:pPr>
        <w:ind w:right="-1"/>
        <w:jc w:val="both"/>
        <w:rPr>
          <w:sz w:val="28"/>
        </w:rPr>
      </w:pPr>
    </w:p>
    <w:p w14:paraId="1C000000" w14:textId="77777777" w:rsidR="00BE7A2E" w:rsidRDefault="00A9092B">
      <w:pPr>
        <w:ind w:firstLine="709"/>
        <w:jc w:val="both"/>
        <w:rPr>
          <w:b/>
          <w:sz w:val="28"/>
        </w:rPr>
      </w:pPr>
      <w:r>
        <w:rPr>
          <w:rStyle w:val="1"/>
          <w:b/>
          <w:sz w:val="28"/>
        </w:rPr>
        <w:t>Минстрой разъяснил, что в отсутствие решения общего собрания собственников помещений в многоквартирном доме (МКД) размер платы за содержание жилого помещения в рамках действующего договора управления МКД не подлежит</w:t>
      </w:r>
      <w:r>
        <w:rPr>
          <w:rStyle w:val="1"/>
          <w:b/>
          <w:sz w:val="28"/>
        </w:rPr>
        <w:t xml:space="preserve"> изменению</w:t>
      </w:r>
    </w:p>
    <w:p w14:paraId="1D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lastRenderedPageBreak/>
        <w:t>Письмом Минстроя РФ от 25.06.2025 № 36723-ДН/04 в пределах компетенции разъяснены правовые положения при определении размера платы за содержание жилого помещения в многоквартирном доме.</w:t>
      </w:r>
    </w:p>
    <w:p w14:paraId="1E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Так в отсутствие решения общего собрания </w:t>
      </w:r>
      <w:r>
        <w:rPr>
          <w:rStyle w:val="1"/>
          <w:sz w:val="28"/>
        </w:rPr>
        <w:t>собственников помещений в многоквартирном доме (МКД) размер платы за содержание жилого помещения в рамках действующего договора управления МКД не подлежит изменению.</w:t>
      </w:r>
    </w:p>
    <w:p w14:paraId="1F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При выборе управляющей организации общим собранием собственников помещений в МКД с каждым </w:t>
      </w:r>
      <w:r>
        <w:rPr>
          <w:rStyle w:val="1"/>
          <w:sz w:val="28"/>
        </w:rPr>
        <w:t>собственником помещения в таком доме заключается договор управления на условиях, указанных в решении данного общего собрания.</w:t>
      </w:r>
    </w:p>
    <w:p w14:paraId="20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>Согласно пункту 3 части 3 статьи 162 ЖК РФ в договоре управления МКД должен быть указан порядок определения цены договора, размера</w:t>
      </w:r>
      <w:r>
        <w:rPr>
          <w:rStyle w:val="1"/>
          <w:sz w:val="28"/>
        </w:rPr>
        <w:t xml:space="preserve"> платы за содержание и ремонт жилого помещения и размера платы за коммунальные услуги, а также порядок внесения такой платы.</w:t>
      </w:r>
    </w:p>
    <w:p w14:paraId="21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>Таким образом, утверждение условий договора управления МКД, в том числе цены такого договора относится к компетенции общего собрани</w:t>
      </w:r>
      <w:r>
        <w:rPr>
          <w:rStyle w:val="1"/>
          <w:sz w:val="28"/>
        </w:rPr>
        <w:t>я собственников помещений в МКД.</w:t>
      </w:r>
    </w:p>
    <w:p w14:paraId="22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>В отсутствие решения общего собрания об утверждении размера платы и/или в отсутствие решения общего собрания об утверждении текста договора, содержащего размер платы (следовательно, и стоимость выполняемых управляющей орган</w:t>
      </w:r>
      <w:r>
        <w:rPr>
          <w:rStyle w:val="1"/>
          <w:sz w:val="28"/>
        </w:rPr>
        <w:t>изацией работ, оказываемых услуг) можно считать указанный договор управления не заключенным, ввиду отсутствия соглашения сторон по всем существенным условиям договорам.</w:t>
      </w:r>
    </w:p>
    <w:p w14:paraId="23000000" w14:textId="77777777" w:rsidR="00BE7A2E" w:rsidRDefault="00A9092B">
      <w:pPr>
        <w:ind w:firstLine="709"/>
        <w:jc w:val="both"/>
        <w:rPr>
          <w:sz w:val="28"/>
        </w:rPr>
      </w:pPr>
      <w:r>
        <w:rPr>
          <w:rStyle w:val="1"/>
          <w:sz w:val="28"/>
        </w:rPr>
        <w:t>Действующее законодательство не предусматривает возможность самостоятельного (то есть в</w:t>
      </w:r>
      <w:r>
        <w:rPr>
          <w:rStyle w:val="1"/>
          <w:sz w:val="28"/>
        </w:rPr>
        <w:t xml:space="preserve"> отсутствие решения общего собрания собственников помещений в МКД) изменения управляющей организацией размера платы за содержание жилого помещения в МКД, включая применение размера платы, установленного органом местного самоуправления.</w:t>
      </w:r>
    </w:p>
    <w:p w14:paraId="24000000" w14:textId="77777777" w:rsidR="00BE7A2E" w:rsidRDefault="00BE7A2E">
      <w:pPr>
        <w:jc w:val="both"/>
        <w:rPr>
          <w:sz w:val="28"/>
        </w:rPr>
      </w:pPr>
    </w:p>
    <w:p w14:paraId="25000000" w14:textId="77777777" w:rsidR="00BE7A2E" w:rsidRDefault="00BE7A2E">
      <w:pPr>
        <w:ind w:right="-1"/>
        <w:jc w:val="both"/>
        <w:rPr>
          <w:sz w:val="28"/>
        </w:rPr>
      </w:pPr>
    </w:p>
    <w:p w14:paraId="26000000" w14:textId="77777777" w:rsidR="00BE7A2E" w:rsidRDefault="00A9092B">
      <w:pPr>
        <w:ind w:firstLine="709"/>
        <w:jc w:val="both"/>
        <w:rPr>
          <w:b/>
          <w:sz w:val="28"/>
          <w:shd w:val="clear" w:color="auto" w:fill="FFD821"/>
        </w:rPr>
      </w:pPr>
      <w:r>
        <w:rPr>
          <w:sz w:val="28"/>
        </w:rPr>
        <w:t>«</w:t>
      </w:r>
      <w:r>
        <w:rPr>
          <w:b/>
          <w:sz w:val="28"/>
        </w:rPr>
        <w:t>С 1 марта 2026 го</w:t>
      </w:r>
      <w:r>
        <w:rPr>
          <w:b/>
          <w:sz w:val="28"/>
        </w:rPr>
        <w:t>да устанавливается ответственность за пропаганду сети «Интернет» наркотических средств».</w:t>
      </w:r>
    </w:p>
    <w:p w14:paraId="27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Федеральным законом от 08.08.2024 № 226-ФЗ «О внесении изменений в Уголовный кодекс Российской Федерации и статьи 3 и 151 Уголовно-процессуального кодекса РФ» с 01.03.</w:t>
      </w:r>
      <w:r>
        <w:rPr>
          <w:sz w:val="28"/>
        </w:rPr>
        <w:t>2026 Уголовный кодекс Российской Федерации будет дополнен статьей 230.3, предусматривающей уголовную ответственность за пропаганду наркотических средств, психотропных веществ, их аналогов или прекурсоров, растений содержащих наркотические средства или псих</w:t>
      </w:r>
      <w:r>
        <w:rPr>
          <w:sz w:val="28"/>
        </w:rPr>
        <w:t>отропные вещества либо их Прекурсоры, в информационно-телекоммуникационных сетях (включая сети «Интернет»).</w:t>
      </w:r>
    </w:p>
    <w:p w14:paraId="28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Норма распространяется на лиц, которые в течении года 2 раза привлекли к административной ответственности за аналогичные нарушения, или которые имею</w:t>
      </w:r>
      <w:r>
        <w:rPr>
          <w:sz w:val="28"/>
        </w:rPr>
        <w:t xml:space="preserve">т судимость по такой статье. </w:t>
      </w:r>
    </w:p>
    <w:p w14:paraId="29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Наказание предусматривается в виде </w:t>
      </w:r>
      <w:r>
        <w:rPr>
          <w:sz w:val="28"/>
        </w:rPr>
        <w:t xml:space="preserve">штрафа в размере от ста тысяч до трехсот тысяч рублей или в размере заработной платы или иного дохода </w:t>
      </w:r>
      <w:r>
        <w:rPr>
          <w:sz w:val="28"/>
        </w:rPr>
        <w:lastRenderedPageBreak/>
        <w:t xml:space="preserve">осужденного за период от одного года до двух лет, либо обязательными работами на срок от </w:t>
      </w:r>
      <w:r>
        <w:rPr>
          <w:sz w:val="28"/>
        </w:rPr>
        <w:t>ста восьмидесяти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такового, либо исправительными работами на срок до двух лет с лишением права занимать определенн</w:t>
      </w:r>
      <w:r>
        <w:rPr>
          <w:sz w:val="28"/>
        </w:rPr>
        <w:t>ые должности или заниматься определенной деятельностью на срок до двух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</w:t>
      </w:r>
      <w:r>
        <w:rPr>
          <w:sz w:val="28"/>
        </w:rPr>
        <w:t>з такового,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лишением свободы на тот же срок с лишением права занимать оп</w:t>
      </w:r>
      <w:r>
        <w:rPr>
          <w:sz w:val="28"/>
        </w:rPr>
        <w:t>ределенные должности или заниматься определенной деятельность на срок до двух лет или без такового.</w:t>
      </w:r>
    </w:p>
    <w:p w14:paraId="2A000000" w14:textId="77777777" w:rsidR="00BE7A2E" w:rsidRDefault="00BE7A2E">
      <w:pPr>
        <w:ind w:firstLine="709"/>
        <w:jc w:val="both"/>
        <w:rPr>
          <w:sz w:val="28"/>
        </w:rPr>
      </w:pPr>
    </w:p>
    <w:p w14:paraId="2B000000" w14:textId="77777777" w:rsidR="00BE7A2E" w:rsidRDefault="00BE7A2E">
      <w:pPr>
        <w:ind w:right="-1"/>
        <w:jc w:val="both"/>
        <w:rPr>
          <w:sz w:val="28"/>
        </w:rPr>
      </w:pPr>
    </w:p>
    <w:p w14:paraId="2C000000" w14:textId="77777777" w:rsidR="00BE7A2E" w:rsidRDefault="00A9092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Освобождение от государственной пошлины участников СВО</w:t>
      </w:r>
    </w:p>
    <w:p w14:paraId="2D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Федеральным законом от 29.05.2023 №187 «О внесении изменений в статью 333.35 части второй </w:t>
      </w:r>
      <w:r>
        <w:rPr>
          <w:sz w:val="28"/>
        </w:rPr>
        <w:t>Налогового кодекса Российской Федерации» предусмотрено освобождение от госпошлины за выдачу паспорта гражданина РФ, национального водительского удостоверения взамен пришедшего в негодность или утраченного для лиц, принимающих (принимавших) участие в СВО.</w:t>
      </w:r>
    </w:p>
    <w:p w14:paraId="2E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анная мера распространяется на следующих лиц: военнослужащих, в том числе призванных на военную службу по мобилизации в ВС РФ, имеющие специальные звания полиции, проходящих службу в войсках национальной гвардии РФ, сотрудников ОВД РФ уголовно-исполнительн</w:t>
      </w:r>
      <w:r>
        <w:rPr>
          <w:sz w:val="28"/>
        </w:rPr>
        <w:t>ой системы РФ, Следственного комитета РФ, заключивших контракт о пребывании в добровольческом формировании (о добровольном содействии и выполнении задач, возложенных на ВС РФ), относящихся к ветеранам боевых действий в соответствии с Федеральным законом «О</w:t>
      </w:r>
      <w:r>
        <w:rPr>
          <w:sz w:val="28"/>
        </w:rPr>
        <w:t xml:space="preserve"> ветеранах».</w:t>
      </w:r>
    </w:p>
    <w:p w14:paraId="2F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В общем случае размер госпошлины за выдачу нового российского паспорта взамен потерянного или испорченного составляет 1500 рублей, а за выдачу водительского удостоверения, выдаваемого взамен утраченного или пришедшего в негодность – 2000 рубле</w:t>
      </w:r>
      <w:r>
        <w:rPr>
          <w:sz w:val="28"/>
        </w:rPr>
        <w:t>й за водительские права старого образца, либо 3000 рублей за удостоверение нового поколения.</w:t>
      </w:r>
    </w:p>
    <w:p w14:paraId="30000000" w14:textId="77777777" w:rsidR="00BE7A2E" w:rsidRDefault="00BE7A2E">
      <w:pPr>
        <w:ind w:firstLine="709"/>
        <w:jc w:val="both"/>
        <w:rPr>
          <w:b/>
          <w:sz w:val="28"/>
        </w:rPr>
      </w:pPr>
    </w:p>
    <w:p w14:paraId="31000000" w14:textId="77777777" w:rsidR="00BE7A2E" w:rsidRDefault="00A9092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Административная ответственность за продажу несовершеннолетним безалкогольного тонизирующего напитка (в том числе энергетического)</w:t>
      </w:r>
    </w:p>
    <w:p w14:paraId="32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В ст. 44 Федерального закона от</w:t>
      </w:r>
      <w:r>
        <w:rPr>
          <w:sz w:val="28"/>
        </w:rPr>
        <w:t xml:space="preserve"> 21.12.2021 № 414 «Об общих принципах организации публичной власти в субъектах Российской Федерации» внесены изменения для предотвращения воздействия безалкогольных тонизирующих напитков (в том числе энергетических) на здоровье несовершеннолетних организац</w:t>
      </w:r>
      <w:r>
        <w:rPr>
          <w:sz w:val="28"/>
        </w:rPr>
        <w:t xml:space="preserve">иям, индивидуальным предпринимателям, крестьянским (фермерским) хозяйствам без образования юридического лица, гражданам Российской </w:t>
      </w:r>
      <w:r>
        <w:rPr>
          <w:sz w:val="28"/>
        </w:rPr>
        <w:lastRenderedPageBreak/>
        <w:t>Федерации, иностранным гражданам и лицам без гражданства запрещается продажа несовершеннолетним безалкогольных тонизирующих н</w:t>
      </w:r>
      <w:r>
        <w:rPr>
          <w:sz w:val="28"/>
        </w:rPr>
        <w:t>апитков.</w:t>
      </w:r>
    </w:p>
    <w:p w14:paraId="33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Федеральным законом от 07.06.2025 №149-ФЗ введена статья 14.16.1 КоАП РФ, устанавливающая ответственность за нарушение запрета продажи вышеуказанной продукции несовершеннолетним. </w:t>
      </w:r>
    </w:p>
    <w:p w14:paraId="34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За продажу несовершеннолетнему безалкогольного тонизирующего напитк</w:t>
      </w:r>
      <w:r>
        <w:rPr>
          <w:sz w:val="28"/>
        </w:rPr>
        <w:t>а предусмотрено административное наказание в виде наложения административного штрафа на граждан в размере от 30 тыс. рублей до 50 тыс. рублей; на должностных лиц – от 100 тыс. рублей до 200 тыс. рублей; на юридических лиц – от 300 тыс. рублей до 500 тыс. р</w:t>
      </w:r>
      <w:r>
        <w:rPr>
          <w:sz w:val="28"/>
        </w:rPr>
        <w:t>ублей.</w:t>
      </w:r>
    </w:p>
    <w:p w14:paraId="35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 этой связи, прокуратура Красногвардейского района г. Санкт-Петербурга информирует должностных и юридических лиц о привлечении к административной ответственности за продажу </w:t>
      </w:r>
      <w:r>
        <w:rPr>
          <w:sz w:val="28"/>
        </w:rPr>
        <w:t>безалкогольного тонизирующего напитка (в том числе энергетического) несове</w:t>
      </w:r>
      <w:r>
        <w:rPr>
          <w:sz w:val="28"/>
        </w:rPr>
        <w:t>ршеннолетним.</w:t>
      </w:r>
      <w:r>
        <w:rPr>
          <w:color w:val="000000" w:themeColor="text1"/>
          <w:sz w:val="28"/>
        </w:rPr>
        <w:t xml:space="preserve"> </w:t>
      </w:r>
    </w:p>
    <w:p w14:paraId="36000000" w14:textId="77777777" w:rsidR="00BE7A2E" w:rsidRDefault="00BE7A2E">
      <w:pPr>
        <w:ind w:firstLine="709"/>
        <w:jc w:val="both"/>
        <w:rPr>
          <w:sz w:val="28"/>
        </w:rPr>
      </w:pPr>
    </w:p>
    <w:p w14:paraId="37000000" w14:textId="77777777" w:rsidR="00BE7A2E" w:rsidRDefault="00BE7A2E">
      <w:pPr>
        <w:ind w:firstLine="709"/>
        <w:jc w:val="both"/>
        <w:rPr>
          <w:sz w:val="28"/>
        </w:rPr>
      </w:pPr>
    </w:p>
    <w:p w14:paraId="38000000" w14:textId="77777777" w:rsidR="00BE7A2E" w:rsidRDefault="00A9092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Об ответственности за поиск экстремистских материалов в сети «Интернет» </w:t>
      </w:r>
    </w:p>
    <w:p w14:paraId="39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 Умышленный поиск экстремистских материалов с помощью VPN штраф 3-5 тыс. руб.</w:t>
      </w:r>
    </w:p>
    <w:p w14:paraId="3A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К экстремистскому контенту относятся:</w:t>
      </w:r>
    </w:p>
    <w:p w14:paraId="3B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-литература, сайты, аудио и видело из </w:t>
      </w:r>
      <w:r>
        <w:rPr>
          <w:sz w:val="28"/>
        </w:rPr>
        <w:t>федерального списка экстремистских материалов;</w:t>
      </w:r>
    </w:p>
    <w:p w14:paraId="3C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-труды лидеров нацисткой Германии и Италии;</w:t>
      </w:r>
    </w:p>
    <w:p w14:paraId="3D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-выступления и изображения </w:t>
      </w:r>
      <w:proofErr w:type="spellStart"/>
      <w:r>
        <w:rPr>
          <w:sz w:val="28"/>
        </w:rPr>
        <w:t>рукводителей</w:t>
      </w:r>
      <w:proofErr w:type="spellEnd"/>
      <w:r>
        <w:rPr>
          <w:sz w:val="28"/>
        </w:rPr>
        <w:t xml:space="preserve"> СС, СД и гестапо</w:t>
      </w:r>
    </w:p>
    <w:p w14:paraId="3E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-публикации, оправдывающие убийства на </w:t>
      </w:r>
      <w:proofErr w:type="gramStart"/>
      <w:r>
        <w:rPr>
          <w:sz w:val="28"/>
        </w:rPr>
        <w:t>национальной  и</w:t>
      </w:r>
      <w:proofErr w:type="gramEnd"/>
      <w:r>
        <w:rPr>
          <w:sz w:val="28"/>
        </w:rPr>
        <w:t xml:space="preserve"> религиозной почве</w:t>
      </w:r>
    </w:p>
    <w:p w14:paraId="3F000000" w14:textId="77777777" w:rsidR="00BE7A2E" w:rsidRDefault="00BE7A2E">
      <w:pPr>
        <w:ind w:firstLine="709"/>
        <w:jc w:val="both"/>
        <w:rPr>
          <w:sz w:val="28"/>
        </w:rPr>
      </w:pPr>
    </w:p>
    <w:p w14:paraId="40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Штраф 5-500 тыс. руб. за </w:t>
      </w:r>
      <w:proofErr w:type="gramStart"/>
      <w:r>
        <w:rPr>
          <w:sz w:val="28"/>
        </w:rPr>
        <w:t xml:space="preserve">рекламу  </w:t>
      </w:r>
      <w:r>
        <w:rPr>
          <w:sz w:val="28"/>
        </w:rPr>
        <w:t>VPN</w:t>
      </w:r>
      <w:proofErr w:type="gramEnd"/>
      <w:r>
        <w:rPr>
          <w:sz w:val="28"/>
        </w:rPr>
        <w:t xml:space="preserve"> сервисов</w:t>
      </w:r>
    </w:p>
    <w:p w14:paraId="41000000" w14:textId="77777777" w:rsidR="00BE7A2E" w:rsidRDefault="00A909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для граждан 50-80 тыс. руб.;</w:t>
      </w:r>
    </w:p>
    <w:p w14:paraId="42000000" w14:textId="77777777" w:rsidR="00BE7A2E" w:rsidRDefault="00A90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80-150 тыс. руб. для должностных лиц;</w:t>
      </w:r>
    </w:p>
    <w:p w14:paraId="43000000" w14:textId="77777777" w:rsidR="00BE7A2E" w:rsidRDefault="00A90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200-500 тыс. руб. для юридических лиц</w:t>
      </w:r>
    </w:p>
    <w:p w14:paraId="44000000" w14:textId="77777777" w:rsidR="00BE7A2E" w:rsidRDefault="00A9092B">
      <w:pPr>
        <w:jc w:val="both"/>
        <w:rPr>
          <w:sz w:val="28"/>
        </w:rPr>
      </w:pPr>
      <w:r>
        <w:rPr>
          <w:sz w:val="28"/>
        </w:rPr>
        <w:tab/>
      </w:r>
    </w:p>
    <w:p w14:paraId="45000000" w14:textId="77777777" w:rsidR="00BE7A2E" w:rsidRDefault="00A9092B">
      <w:pPr>
        <w:jc w:val="both"/>
        <w:rPr>
          <w:sz w:val="28"/>
        </w:rPr>
      </w:pPr>
      <w:r>
        <w:rPr>
          <w:sz w:val="28"/>
        </w:rPr>
        <w:tab/>
        <w:t>За что не штрафуют:</w:t>
      </w:r>
    </w:p>
    <w:p w14:paraId="46000000" w14:textId="77777777" w:rsidR="00BE7A2E" w:rsidRDefault="00A9092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просмотр </w:t>
      </w:r>
      <w:proofErr w:type="spellStart"/>
      <w:r>
        <w:rPr>
          <w:sz w:val="28"/>
        </w:rPr>
        <w:t>Facebook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  </w:t>
      </w:r>
      <w:proofErr w:type="spellStart"/>
      <w:r>
        <w:rPr>
          <w:sz w:val="28"/>
        </w:rPr>
        <w:t>Instagram</w:t>
      </w:r>
      <w:proofErr w:type="spellEnd"/>
      <w:proofErr w:type="gramEnd"/>
      <w:r>
        <w:rPr>
          <w:sz w:val="28"/>
        </w:rPr>
        <w:t>;</w:t>
      </w:r>
    </w:p>
    <w:p w14:paraId="47000000" w14:textId="77777777" w:rsidR="00BE7A2E" w:rsidRDefault="00A9092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посещение других заблокированных сайтов</w:t>
      </w:r>
    </w:p>
    <w:p w14:paraId="48000000" w14:textId="77777777" w:rsidR="00BE7A2E" w:rsidRDefault="00A9092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случайное открытие запрещенных материалов;</w:t>
      </w:r>
    </w:p>
    <w:p w14:paraId="49000000" w14:textId="77777777" w:rsidR="00BE7A2E" w:rsidRDefault="00A9092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жалобы на экстремистский контент</w:t>
      </w:r>
    </w:p>
    <w:p w14:paraId="4A000000" w14:textId="77777777" w:rsidR="00BE7A2E" w:rsidRDefault="00BE7A2E">
      <w:pPr>
        <w:jc w:val="both"/>
        <w:rPr>
          <w:sz w:val="28"/>
        </w:rPr>
      </w:pPr>
    </w:p>
    <w:p w14:paraId="4B000000" w14:textId="77777777" w:rsidR="00BE7A2E" w:rsidRDefault="00BE7A2E">
      <w:pPr>
        <w:spacing w:line="240" w:lineRule="exact"/>
        <w:ind w:right="-1"/>
        <w:jc w:val="both"/>
        <w:rPr>
          <w:sz w:val="28"/>
        </w:rPr>
      </w:pPr>
    </w:p>
    <w:p w14:paraId="4C000000" w14:textId="77777777" w:rsidR="00BE7A2E" w:rsidRDefault="00A9092B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«</w:t>
      </w:r>
      <w:r>
        <w:rPr>
          <w:b/>
          <w:color w:val="333333"/>
          <w:sz w:val="28"/>
          <w:highlight w:val="white"/>
        </w:rPr>
        <w:t>Ответственность несовершеннолетних за дистанционное мошенничество</w:t>
      </w:r>
      <w:r>
        <w:rPr>
          <w:b/>
          <w:sz w:val="28"/>
        </w:rPr>
        <w:t>».</w:t>
      </w:r>
    </w:p>
    <w:p w14:paraId="4D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В настоящее время возрастает количество мошеннических действий, совершаемых дистанционно с использованием сети Интернет.</w:t>
      </w:r>
    </w:p>
    <w:p w14:paraId="4E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На сегодняшний день преобладаю</w:t>
      </w:r>
      <w:r>
        <w:rPr>
          <w:sz w:val="28"/>
        </w:rPr>
        <w:t xml:space="preserve">т мошенничества, совершаемые </w:t>
      </w:r>
      <w:proofErr w:type="spellStart"/>
      <w:r>
        <w:rPr>
          <w:sz w:val="28"/>
        </w:rPr>
        <w:t>лжесотрудниками</w:t>
      </w:r>
      <w:proofErr w:type="spellEnd"/>
      <w:r>
        <w:rPr>
          <w:sz w:val="28"/>
        </w:rPr>
        <w:t xml:space="preserve"> службы безопасности банка, </w:t>
      </w:r>
      <w:proofErr w:type="spellStart"/>
      <w:r>
        <w:rPr>
          <w:sz w:val="28"/>
        </w:rPr>
        <w:t>псевдоброкерами</w:t>
      </w:r>
      <w:proofErr w:type="spellEnd"/>
      <w:r>
        <w:rPr>
          <w:sz w:val="28"/>
        </w:rPr>
        <w:t xml:space="preserve"> и другими лицами. Зачастую мошенники совершают звонки, представляясь попавшими в беду родственниками, требуя перевода денежных средств.</w:t>
      </w:r>
    </w:p>
    <w:p w14:paraId="4F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Мошенники размещают </w:t>
      </w:r>
      <w:r>
        <w:rPr>
          <w:sz w:val="28"/>
        </w:rPr>
        <w:t>объявления в группах социальных сетей и популярных мессенджерах, а несовершеннолетние, наткнувшись на предложение быстрого и легкого заработка, соглашаются, не вникая в суть работы.</w:t>
      </w:r>
    </w:p>
    <w:p w14:paraId="50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Действия несовершеннолетних по участию в подобных деяниях квалифицируются </w:t>
      </w:r>
      <w:r>
        <w:rPr>
          <w:sz w:val="28"/>
        </w:rPr>
        <w:t xml:space="preserve">как </w:t>
      </w:r>
      <w:proofErr w:type="spellStart"/>
      <w:r>
        <w:rPr>
          <w:sz w:val="28"/>
        </w:rPr>
        <w:t>соисполнительство</w:t>
      </w:r>
      <w:proofErr w:type="spellEnd"/>
      <w:r>
        <w:rPr>
          <w:sz w:val="28"/>
        </w:rPr>
        <w:t xml:space="preserve"> в мошенничестве.</w:t>
      </w:r>
    </w:p>
    <w:p w14:paraId="51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Так, ст. 159 УК РФ предусматривает уголовную ответственность за мошенничество, то есть хищение чужого имущества или приобретения права на чужое имущество путем обмана или злоупотребления доверием.</w:t>
      </w:r>
    </w:p>
    <w:p w14:paraId="52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Возраст, с которого </w:t>
      </w:r>
      <w:r>
        <w:rPr>
          <w:sz w:val="28"/>
        </w:rPr>
        <w:t xml:space="preserve">наступает уголовная ответственность по ст. 159 УК РФ, составляет 16 лет. При этом, совершение данных деяний до наступления возраста уголовной ответственности, также влечет негативные последствия для несовершеннолетних в виде постановки на профилактический </w:t>
      </w:r>
      <w:r>
        <w:rPr>
          <w:sz w:val="28"/>
        </w:rPr>
        <w:t>учет в органах системы профилактики, в помещении в Специальное учебно-воспитательное учреждение закрытого типа, а также в Центр временного содержания несовершеннолетних правонарушителей.</w:t>
      </w:r>
    </w:p>
    <w:p w14:paraId="53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 xml:space="preserve">Кроме того, согласно ч. 1 ст. 44 УПК РФ как физическое, так и </w:t>
      </w:r>
      <w:r>
        <w:rPr>
          <w:sz w:val="28"/>
        </w:rPr>
        <w:t>юридическое лицо вправе предъявить по уголовному делу гражданский иск, содержащий требование о возмещении имущественного вреда, а физическое лицо – так о компенсации причиненного ему преступлением морального вреда.</w:t>
      </w:r>
    </w:p>
    <w:p w14:paraId="54000000" w14:textId="77777777" w:rsidR="00BE7A2E" w:rsidRDefault="00A9092B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В этой связи прокуратура Красногвардейско</w:t>
      </w:r>
      <w:r>
        <w:rPr>
          <w:color w:val="000000" w:themeColor="text1"/>
          <w:sz w:val="28"/>
        </w:rPr>
        <w:t xml:space="preserve">го района г. Санкт-Петербурга обращает внимание на ответственность несовершеннолетних за совершение мошеннических действий. </w:t>
      </w:r>
    </w:p>
    <w:p w14:paraId="55000000" w14:textId="77777777" w:rsidR="00BE7A2E" w:rsidRDefault="00BE7A2E">
      <w:pPr>
        <w:ind w:firstLine="709"/>
        <w:jc w:val="both"/>
        <w:rPr>
          <w:sz w:val="28"/>
        </w:rPr>
      </w:pPr>
    </w:p>
    <w:p w14:paraId="56000000" w14:textId="77777777" w:rsidR="00BE7A2E" w:rsidRDefault="00BE7A2E">
      <w:pPr>
        <w:jc w:val="both"/>
        <w:rPr>
          <w:sz w:val="28"/>
        </w:rPr>
      </w:pPr>
    </w:p>
    <w:p w14:paraId="57000000" w14:textId="77777777" w:rsidR="00BE7A2E" w:rsidRDefault="00A9092B">
      <w:pPr>
        <w:jc w:val="both"/>
        <w:rPr>
          <w:b/>
          <w:sz w:val="28"/>
        </w:rPr>
      </w:pPr>
      <w:r>
        <w:rPr>
          <w:b/>
          <w:sz w:val="28"/>
        </w:rPr>
        <w:t xml:space="preserve">Новое в банковском законодательстве </w:t>
      </w:r>
    </w:p>
    <w:p w14:paraId="58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С 1 июля 2025 года на системно значимые банки возложены полномочия по открытию социальных сч</w:t>
      </w:r>
      <w:r>
        <w:rPr>
          <w:rStyle w:val="1"/>
          <w:sz w:val="28"/>
        </w:rPr>
        <w:t xml:space="preserve">етов и вкладов. Новые финансовые инструменты предназначены для адресатов мер социальной поддержки государства, открытие которых возможно сделать, в том числе по запросам через портал Госуслуг. Владельцы банковского счета и вклады освобождены от банковских </w:t>
      </w:r>
      <w:r>
        <w:rPr>
          <w:rStyle w:val="1"/>
          <w:sz w:val="28"/>
        </w:rPr>
        <w:t>комиссий:</w:t>
      </w:r>
    </w:p>
    <w:p w14:paraId="59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- за открытие, обслуживание и пополнение счета;</w:t>
      </w:r>
    </w:p>
    <w:p w14:paraId="5A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- выдачу и использование карты «Мир», которая привязана к этому счету;</w:t>
      </w:r>
    </w:p>
    <w:p w14:paraId="5B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- переводы денег со счета в размере не более 20 тыс. руб. в месяц.</w:t>
      </w:r>
    </w:p>
    <w:p w14:paraId="5C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Договор банковского счета дает возможность ежедневного начис</w:t>
      </w:r>
      <w:r>
        <w:rPr>
          <w:rStyle w:val="1"/>
          <w:sz w:val="28"/>
        </w:rPr>
        <w:t>ления процентов по счету и зависит от количества денежных средств на нем:</w:t>
      </w:r>
    </w:p>
    <w:p w14:paraId="5D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- если остаток не более 50 тыс. руб., то ставка - минимум 1/2 от актуальной на дату начисления процентов ключевой ставки;</w:t>
      </w:r>
    </w:p>
    <w:p w14:paraId="5E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>- если свыше этой суммы, то ставка договорная без ограничени</w:t>
      </w:r>
      <w:r>
        <w:rPr>
          <w:rStyle w:val="1"/>
          <w:sz w:val="28"/>
        </w:rPr>
        <w:t>й.</w:t>
      </w:r>
    </w:p>
    <w:p w14:paraId="5F000000" w14:textId="77777777" w:rsidR="00BE7A2E" w:rsidRDefault="00A9092B">
      <w:pPr>
        <w:ind w:firstLine="540"/>
        <w:jc w:val="both"/>
        <w:rPr>
          <w:sz w:val="28"/>
        </w:rPr>
      </w:pPr>
      <w:r>
        <w:rPr>
          <w:rStyle w:val="1"/>
          <w:sz w:val="28"/>
        </w:rPr>
        <w:t xml:space="preserve">Касаемо другого финансового инструмента - социального вклада, на него можно разместить максимум 50 тыс. руб. Ставка равна максимальной ставке по </w:t>
      </w:r>
      <w:r>
        <w:rPr>
          <w:rStyle w:val="1"/>
          <w:sz w:val="28"/>
        </w:rPr>
        <w:lastRenderedPageBreak/>
        <w:t>обычным вкладам физлиц в конкретном банке сроком до года включительно (есть исключения).</w:t>
      </w:r>
    </w:p>
    <w:p w14:paraId="60000000" w14:textId="77777777" w:rsidR="00BE7A2E" w:rsidRDefault="00A9092B">
      <w:pPr>
        <w:ind w:firstLine="709"/>
        <w:jc w:val="both"/>
        <w:rPr>
          <w:sz w:val="28"/>
        </w:rPr>
      </w:pPr>
      <w:r>
        <w:rPr>
          <w:sz w:val="28"/>
        </w:rPr>
        <w:t>Начисление и выплат</w:t>
      </w:r>
      <w:r>
        <w:rPr>
          <w:sz w:val="28"/>
        </w:rPr>
        <w:t>а процентов по договору социального банковского вклада осуществляются ежемесячно путем перечисления денежных средств на указанный физическим лицом счет, отличный от счета, на котором размещены денежные средства по договору социального банковского вклада.</w:t>
      </w:r>
    </w:p>
    <w:p w14:paraId="61000000" w14:textId="77777777" w:rsidR="00BE7A2E" w:rsidRDefault="00A9092B">
      <w:pPr>
        <w:ind w:firstLine="54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аключение договора социального банковского вклада в пользу третьего лица не допускается. При этом наличие у гражданина действующего социального банковского счета не является основанием для отказа ему в открытии социального банковского вклада.</w:t>
      </w:r>
    </w:p>
    <w:p w14:paraId="62000000" w14:textId="77777777" w:rsidR="00BE7A2E" w:rsidRDefault="00A9092B">
      <w:pPr>
        <w:ind w:firstLine="540"/>
        <w:jc w:val="both"/>
        <w:rPr>
          <w:sz w:val="28"/>
        </w:rPr>
      </w:pPr>
      <w:r>
        <w:rPr>
          <w:sz w:val="28"/>
        </w:rPr>
        <w:t>Таким образом</w:t>
      </w:r>
      <w:r>
        <w:rPr>
          <w:sz w:val="28"/>
        </w:rPr>
        <w:t>, новые финансовые инструменты могут использоваться гражданами для сохранения и преумножения своего благосостояния.</w:t>
      </w:r>
    </w:p>
    <w:p w14:paraId="63000000" w14:textId="77777777" w:rsidR="00BE7A2E" w:rsidRDefault="00BE7A2E">
      <w:pPr>
        <w:ind w:firstLine="540"/>
        <w:jc w:val="both"/>
        <w:rPr>
          <w:sz w:val="28"/>
        </w:rPr>
      </w:pPr>
    </w:p>
    <w:p w14:paraId="64000000" w14:textId="77777777" w:rsidR="00BE7A2E" w:rsidRDefault="00BE7A2E">
      <w:pPr>
        <w:ind w:firstLine="540"/>
        <w:jc w:val="both"/>
        <w:rPr>
          <w:sz w:val="28"/>
        </w:rPr>
      </w:pPr>
    </w:p>
    <w:p w14:paraId="65000000" w14:textId="77777777" w:rsidR="00BE7A2E" w:rsidRDefault="00A9092B">
      <w:pPr>
        <w:jc w:val="both"/>
        <w:rPr>
          <w:sz w:val="28"/>
        </w:rPr>
      </w:pPr>
      <w:r>
        <w:rPr>
          <w:sz w:val="28"/>
        </w:rPr>
        <w:t>Прокуратура Красногвардейского района г. Санкт-Петербурга</w:t>
      </w:r>
    </w:p>
    <w:p w14:paraId="66000000" w14:textId="77777777" w:rsidR="00BE7A2E" w:rsidRDefault="00BE7A2E">
      <w:pPr>
        <w:ind w:firstLine="540"/>
        <w:jc w:val="both"/>
        <w:rPr>
          <w:sz w:val="28"/>
        </w:rPr>
      </w:pPr>
    </w:p>
    <w:sectPr w:rsidR="00BE7A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566" w:bottom="0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51CF" w14:textId="77777777" w:rsidR="00A9092B" w:rsidRDefault="00A9092B">
      <w:r>
        <w:separator/>
      </w:r>
    </w:p>
  </w:endnote>
  <w:endnote w:type="continuationSeparator" w:id="0">
    <w:p w14:paraId="68E8A9C5" w14:textId="77777777" w:rsidR="00A9092B" w:rsidRDefault="00A9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0000" w14:textId="77777777" w:rsidR="00BE7A2E" w:rsidRDefault="00BE7A2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0000" w14:textId="77777777" w:rsidR="00BE7A2E" w:rsidRDefault="00BE7A2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BE7A2E" w:rsidRDefault="00BE7A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054F" w14:textId="77777777" w:rsidR="00A9092B" w:rsidRDefault="00A9092B">
      <w:r>
        <w:separator/>
      </w:r>
    </w:p>
  </w:footnote>
  <w:footnote w:type="continuationSeparator" w:id="0">
    <w:p w14:paraId="6197F652" w14:textId="77777777" w:rsidR="00A9092B" w:rsidRDefault="00A9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BE7A2E" w:rsidRDefault="00BE7A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0000" w14:textId="77777777" w:rsidR="00BE7A2E" w:rsidRDefault="00A9092B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 w14:textId="77777777" w:rsidR="00BE7A2E" w:rsidRDefault="00BE7A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2194C"/>
    <w:multiLevelType w:val="multilevel"/>
    <w:tmpl w:val="7A40909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E81190"/>
    <w:multiLevelType w:val="multilevel"/>
    <w:tmpl w:val="E160C6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F93181"/>
    <w:multiLevelType w:val="multilevel"/>
    <w:tmpl w:val="A5B45A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2E"/>
    <w:rsid w:val="00781E16"/>
    <w:rsid w:val="00A9092B"/>
    <w:rsid w:val="00B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963FA-C179-4BA0-A8F9-C60D2B2A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1952</Words>
  <Characters>11131</Characters>
  <Application>Microsoft Office Word</Application>
  <DocSecurity>0</DocSecurity>
  <Lines>92</Lines>
  <Paragraphs>26</Paragraphs>
  <ScaleCrop>false</ScaleCrop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С. В. Никитина</cp:lastModifiedBy>
  <cp:revision>3</cp:revision>
  <dcterms:created xsi:type="dcterms:W3CDTF">2025-08-13T13:58:00Z</dcterms:created>
  <dcterms:modified xsi:type="dcterms:W3CDTF">2025-08-13T14:01:00Z</dcterms:modified>
</cp:coreProperties>
</file>